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68" w:rsidRPr="00DD68EA" w:rsidRDefault="00D01CB8" w:rsidP="00DD68EA">
      <w:pPr>
        <w:bidi/>
        <w:ind w:right="-360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DD68EA">
        <w:rPr>
          <w:rFonts w:ascii="IranNastaliq" w:hAnsi="IranNastaliq" w:cs="IranNastaliq"/>
          <w:sz w:val="44"/>
          <w:szCs w:val="44"/>
          <w:rtl/>
          <w:lang w:bidi="fa-IR"/>
        </w:rPr>
        <w:t>هوالشافی</w:t>
      </w:r>
    </w:p>
    <w:p w:rsidR="00DD68EA" w:rsidRPr="00DD68EA" w:rsidRDefault="00D01CB8" w:rsidP="001932D2">
      <w:pPr>
        <w:bidi/>
        <w:ind w:right="-360"/>
        <w:jc w:val="center"/>
        <w:rPr>
          <w:rFonts w:asciiTheme="majorBidi" w:hAnsiTheme="majorBidi" w:cs="B Titr"/>
          <w:sz w:val="28"/>
          <w:szCs w:val="28"/>
          <w:rtl/>
          <w:lang w:bidi="fa-IR"/>
        </w:rPr>
      </w:pPr>
      <w:r w:rsidRPr="00DD68EA">
        <w:rPr>
          <w:rFonts w:asciiTheme="majorBidi" w:hAnsiTheme="majorBidi" w:cs="B Titr"/>
          <w:sz w:val="28"/>
          <w:szCs w:val="28"/>
          <w:rtl/>
          <w:lang w:bidi="fa-IR"/>
        </w:rPr>
        <w:t xml:space="preserve">نحوه صحیح </w:t>
      </w:r>
      <w:r w:rsidR="001932D2">
        <w:rPr>
          <w:rFonts w:asciiTheme="majorBidi" w:hAnsiTheme="majorBidi" w:cs="B Titr" w:hint="cs"/>
          <w:sz w:val="28"/>
          <w:szCs w:val="28"/>
          <w:rtl/>
          <w:lang w:bidi="fa-IR"/>
        </w:rPr>
        <w:t xml:space="preserve">نگهداری و </w:t>
      </w:r>
      <w:r w:rsidRPr="00DD68EA">
        <w:rPr>
          <w:rFonts w:asciiTheme="majorBidi" w:hAnsiTheme="majorBidi" w:cs="B Titr"/>
          <w:sz w:val="28"/>
          <w:szCs w:val="28"/>
          <w:rtl/>
          <w:lang w:bidi="fa-IR"/>
        </w:rPr>
        <w:t>آماده سازی</w:t>
      </w:r>
      <w:r w:rsidR="001932D2">
        <w:rPr>
          <w:rFonts w:asciiTheme="majorBidi" w:hAnsiTheme="majorBidi" w:cs="B Titr" w:hint="cs"/>
          <w:sz w:val="28"/>
          <w:szCs w:val="28"/>
          <w:rtl/>
          <w:lang w:bidi="fa-IR"/>
        </w:rPr>
        <w:t xml:space="preserve"> محلول</w:t>
      </w:r>
      <w:r w:rsidRPr="00DD68EA">
        <w:rPr>
          <w:rFonts w:asciiTheme="majorBidi" w:hAnsiTheme="majorBidi" w:cs="B Titr"/>
          <w:sz w:val="28"/>
          <w:szCs w:val="28"/>
          <w:rtl/>
          <w:lang w:bidi="fa-IR"/>
        </w:rPr>
        <w:t xml:space="preserve"> تزریقی</w:t>
      </w:r>
      <w:r w:rsidR="001932D2">
        <w:rPr>
          <w:rFonts w:asciiTheme="majorBidi" w:hAnsiTheme="majorBidi" w:cs="B Titr" w:hint="cs"/>
          <w:sz w:val="28"/>
          <w:szCs w:val="28"/>
          <w:rtl/>
          <w:lang w:bidi="fa-IR"/>
        </w:rPr>
        <w:t xml:space="preserve"> سفتازیدیم</w:t>
      </w:r>
    </w:p>
    <w:p w:rsidR="00A91432" w:rsidRPr="008F75A3" w:rsidRDefault="001932D2" w:rsidP="008F75A3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b/>
          <w:bCs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b/>
          <w:bCs/>
          <w:sz w:val="28"/>
          <w:szCs w:val="28"/>
          <w:rtl/>
          <w:lang w:bidi="fa-IR"/>
        </w:rPr>
        <w:t>تزریق عضلانی:</w:t>
      </w:r>
    </w:p>
    <w:p w:rsidR="001932D2" w:rsidRPr="008F75A3" w:rsidRDefault="001932D2" w:rsidP="008F75A3">
      <w:pPr>
        <w:bidi/>
        <w:ind w:left="-270"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>به ترتیب 1/5 و3 میلی لیتر محلول رقیق کننده به ویال های 500 میلی گرم و 1 گرم سفتازیدیم اضافه نمایید محلول رقیق کننده می تواند شامل آب مقطر تزریقی یا لیدوکائین 5/0 % و 1% باشد.</w:t>
      </w:r>
    </w:p>
    <w:p w:rsidR="001932D2" w:rsidRPr="008F75A3" w:rsidRDefault="001932D2" w:rsidP="008F75A3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b/>
          <w:bCs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b/>
          <w:bCs/>
          <w:sz w:val="28"/>
          <w:szCs w:val="28"/>
          <w:rtl/>
          <w:lang w:bidi="fa-IR"/>
        </w:rPr>
        <w:t>تزریق وریدی:</w:t>
      </w:r>
    </w:p>
    <w:p w:rsidR="001932D2" w:rsidRPr="008F75A3" w:rsidRDefault="001932D2" w:rsidP="008F75A3">
      <w:pPr>
        <w:bidi/>
        <w:ind w:left="-270"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>به ترتیب 3و 5 میلی لیتر و 10 میلی لیتر آب مقطر تزریقی به ویال های 500، 1 و 2 گرمی اضافه کنید. تزریق وریدی باید به آهستگی و در فاصله زمانی 3 تا 5 دقیقه انجام شود.</w:t>
      </w:r>
    </w:p>
    <w:p w:rsidR="001932D2" w:rsidRPr="008F75A3" w:rsidRDefault="001932D2" w:rsidP="008F75A3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b/>
          <w:bCs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b/>
          <w:bCs/>
          <w:sz w:val="28"/>
          <w:szCs w:val="28"/>
          <w:rtl/>
          <w:lang w:bidi="fa-IR"/>
        </w:rPr>
        <w:t xml:space="preserve">انفوزیون: </w:t>
      </w:r>
    </w:p>
    <w:p w:rsidR="001932D2" w:rsidRPr="008F75A3" w:rsidRDefault="001932D2" w:rsidP="008F75A3">
      <w:pPr>
        <w:bidi/>
        <w:ind w:left="-270"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 xml:space="preserve">جهت انفوزیون ابتدا </w:t>
      </w:r>
      <w:r w:rsidR="00C24956"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>طبق روش بالا محلول قابل تزریق تهیه می گردد و با محلول های تزریقی قابل انفوزیون شامل سدیم کلراید 9/0 % ، رینگر لاکتات ، رینگر، دکستروز 5% و 10% ، دکستروز سالین ( 9/0% -5% ) تزریق میگردد.</w:t>
      </w:r>
    </w:p>
    <w:p w:rsidR="00C24956" w:rsidRPr="008F75A3" w:rsidRDefault="00C24956" w:rsidP="008F75A3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b/>
          <w:bCs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b/>
          <w:bCs/>
          <w:sz w:val="28"/>
          <w:szCs w:val="28"/>
          <w:rtl/>
          <w:lang w:bidi="fa-IR"/>
        </w:rPr>
        <w:t>شرایط نگهداری محلولهای تهیه شده:</w:t>
      </w:r>
    </w:p>
    <w:p w:rsidR="00C24956" w:rsidRPr="008F75A3" w:rsidRDefault="00C24956" w:rsidP="008F75A3">
      <w:pPr>
        <w:bidi/>
        <w:ind w:left="-270"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>محلول هایی که در داخل ویال تهیه میگردند در دمای اتاق 18-24 ساعت و در صورت نگهداری در یخچال تا 7 روز قابل استفاده می باشند. در مورد ویال باز شده بدون افزودن حلال، شرایط فوق صادق است.</w:t>
      </w:r>
    </w:p>
    <w:p w:rsidR="008F75A3" w:rsidRDefault="008F75A3" w:rsidP="008F75A3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sz w:val="28"/>
          <w:szCs w:val="28"/>
          <w:lang w:bidi="fa-IR"/>
        </w:rPr>
      </w:pPr>
      <w:r w:rsidRPr="008F75A3">
        <w:rPr>
          <w:rFonts w:asciiTheme="majorBidi" w:hAnsiTheme="majorBidi" w:cs="2  Mitra" w:hint="cs"/>
          <w:sz w:val="28"/>
          <w:szCs w:val="28"/>
          <w:rtl/>
          <w:lang w:bidi="fa-IR"/>
        </w:rPr>
        <w:t>تغییر رنگ محلول از رنگ زرد تا کهربائی به معنای کاهش قدرت اثر دارو نمیباشد.</w:t>
      </w:r>
    </w:p>
    <w:p w:rsidR="003242EC" w:rsidRPr="008F75A3" w:rsidRDefault="003242EC" w:rsidP="003242EC">
      <w:pPr>
        <w:pStyle w:val="ListParagraph"/>
        <w:numPr>
          <w:ilvl w:val="0"/>
          <w:numId w:val="5"/>
        </w:numPr>
        <w:bidi/>
        <w:ind w:right="-360"/>
        <w:jc w:val="both"/>
        <w:rPr>
          <w:rFonts w:asciiTheme="majorBidi" w:hAnsiTheme="majorBidi" w:cs="2  Mitra"/>
          <w:sz w:val="28"/>
          <w:szCs w:val="28"/>
          <w:lang w:bidi="fa-IR"/>
        </w:rPr>
      </w:pP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مخلوط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کردن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سفتازیدیم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با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سایر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داروها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به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ویژه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آمینوگلیکوزیدها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و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وانکومایسین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در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یک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محلول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توصیه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نمی</w:t>
      </w:r>
      <w:r w:rsidRPr="003242EC">
        <w:rPr>
          <w:rFonts w:asciiTheme="majorBidi" w:hAnsiTheme="majorBidi" w:cs="2  Mitra"/>
          <w:sz w:val="28"/>
          <w:szCs w:val="28"/>
          <w:rtl/>
          <w:lang w:bidi="fa-IR"/>
        </w:rPr>
        <w:t xml:space="preserve"> </w:t>
      </w:r>
      <w:r w:rsidRPr="003242EC">
        <w:rPr>
          <w:rFonts w:asciiTheme="majorBidi" w:hAnsiTheme="majorBidi" w:cs="2  Mitra" w:hint="cs"/>
          <w:sz w:val="28"/>
          <w:szCs w:val="28"/>
          <w:rtl/>
          <w:lang w:bidi="fa-IR"/>
        </w:rPr>
        <w:t>شود</w:t>
      </w:r>
      <w:bookmarkStart w:id="0" w:name="_GoBack"/>
      <w:bookmarkEnd w:id="0"/>
    </w:p>
    <w:p w:rsidR="008F75A3" w:rsidRPr="008F75A3" w:rsidRDefault="008F75A3" w:rsidP="008F75A3">
      <w:pPr>
        <w:bidi/>
        <w:ind w:right="-360"/>
        <w:jc w:val="both"/>
        <w:rPr>
          <w:rFonts w:asciiTheme="majorBidi" w:hAnsiTheme="majorBidi" w:cs="2  Mitra"/>
          <w:sz w:val="28"/>
          <w:szCs w:val="28"/>
          <w:lang w:bidi="fa-IR"/>
        </w:rPr>
      </w:pPr>
    </w:p>
    <w:p w:rsidR="00A91432" w:rsidRPr="008F75A3" w:rsidRDefault="00A91432" w:rsidP="008F75A3">
      <w:pPr>
        <w:ind w:left="270" w:right="-360"/>
        <w:jc w:val="both"/>
        <w:rPr>
          <w:rFonts w:asciiTheme="majorBidi" w:hAnsiTheme="majorBidi" w:cstheme="majorBidi"/>
          <w:sz w:val="28"/>
          <w:szCs w:val="28"/>
          <w:u w:val="single"/>
          <w:lang w:bidi="fa-IR"/>
        </w:rPr>
      </w:pPr>
      <w:r w:rsidRPr="008F75A3">
        <w:rPr>
          <w:rFonts w:asciiTheme="majorBidi" w:hAnsiTheme="majorBidi" w:cstheme="majorBidi"/>
          <w:sz w:val="28"/>
          <w:szCs w:val="28"/>
          <w:u w:val="single"/>
          <w:lang w:bidi="fa-IR"/>
        </w:rPr>
        <w:t>References</w:t>
      </w:r>
    </w:p>
    <w:p w:rsidR="008F75A3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8F75A3">
        <w:rPr>
          <w:rFonts w:asciiTheme="majorBidi" w:hAnsiTheme="majorBidi" w:cstheme="majorBidi"/>
          <w:sz w:val="28"/>
          <w:szCs w:val="28"/>
          <w:lang w:bidi="fa-IR"/>
        </w:rPr>
        <w:t xml:space="preserve">Handbook on </w:t>
      </w:r>
      <w:proofErr w:type="spellStart"/>
      <w:r w:rsidRPr="008F75A3">
        <w:rPr>
          <w:rFonts w:asciiTheme="majorBidi" w:hAnsiTheme="majorBidi" w:cstheme="majorBidi"/>
          <w:sz w:val="28"/>
          <w:szCs w:val="28"/>
          <w:lang w:bidi="fa-IR"/>
        </w:rPr>
        <w:t>Injectabele</w:t>
      </w:r>
      <w:proofErr w:type="spellEnd"/>
      <w:r w:rsidRPr="008F75A3">
        <w:rPr>
          <w:rFonts w:asciiTheme="majorBidi" w:hAnsiTheme="majorBidi" w:cstheme="majorBidi"/>
          <w:sz w:val="28"/>
          <w:szCs w:val="28"/>
          <w:lang w:bidi="fa-IR"/>
        </w:rPr>
        <w:t xml:space="preserve"> Drugs </w:t>
      </w:r>
    </w:p>
    <w:p w:rsidR="008F75A3" w:rsidRDefault="00A91432" w:rsidP="008F75A3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8F75A3">
        <w:rPr>
          <w:rFonts w:asciiTheme="majorBidi" w:hAnsiTheme="majorBidi" w:cstheme="majorBidi"/>
          <w:sz w:val="28"/>
          <w:szCs w:val="28"/>
          <w:lang w:bidi="fa-IR"/>
        </w:rPr>
        <w:t>IV Drug Handbook</w:t>
      </w:r>
    </w:p>
    <w:p w:rsidR="008F75A3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8F75A3">
        <w:rPr>
          <w:rFonts w:asciiTheme="majorBidi" w:hAnsiTheme="majorBidi" w:cstheme="majorBidi"/>
          <w:sz w:val="28"/>
          <w:szCs w:val="28"/>
          <w:lang w:bidi="fa-IR"/>
        </w:rPr>
        <w:t>Hnadbook</w:t>
      </w:r>
      <w:proofErr w:type="spellEnd"/>
      <w:r w:rsidRPr="008F75A3">
        <w:rPr>
          <w:rFonts w:asciiTheme="majorBidi" w:hAnsiTheme="majorBidi" w:cstheme="majorBidi"/>
          <w:sz w:val="28"/>
          <w:szCs w:val="28"/>
          <w:lang w:bidi="fa-IR"/>
        </w:rPr>
        <w:t xml:space="preserve"> of drugs in intensive care</w:t>
      </w:r>
    </w:p>
    <w:p w:rsidR="00A91432" w:rsidRPr="008F75A3" w:rsidRDefault="00A91432" w:rsidP="008F75A3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8F75A3">
        <w:rPr>
          <w:rFonts w:asciiTheme="majorBidi" w:hAnsiTheme="majorBidi" w:cstheme="majorBidi"/>
          <w:sz w:val="28"/>
          <w:szCs w:val="28"/>
          <w:lang w:bidi="fa-IR"/>
        </w:rPr>
        <w:t>Intravenous Medications</w:t>
      </w:r>
    </w:p>
    <w:sectPr w:rsidR="00A91432" w:rsidRPr="008F75A3" w:rsidSect="00DD68EA">
      <w:pgSz w:w="12240" w:h="15840"/>
      <w:pgMar w:top="990" w:right="1440" w:bottom="1440" w:left="1440" w:header="720" w:footer="720" w:gutter="0"/>
      <w:pgBorders w:offsetFrom="page">
        <w:top w:val="twistedLines1" w:sz="18" w:space="24" w:color="4F6228" w:themeColor="accent3" w:themeShade="80"/>
        <w:left w:val="twistedLines1" w:sz="18" w:space="24" w:color="4F6228" w:themeColor="accent3" w:themeShade="80"/>
        <w:bottom w:val="twistedLines1" w:sz="18" w:space="24" w:color="4F6228" w:themeColor="accent3" w:themeShade="80"/>
        <w:right w:val="twistedLines1" w:sz="18" w:space="24" w:color="4F6228" w:themeColor="accent3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735"/>
      </v:shape>
    </w:pict>
  </w:numPicBullet>
  <w:abstractNum w:abstractNumId="0">
    <w:nsid w:val="013F6D8C"/>
    <w:multiLevelType w:val="hybridMultilevel"/>
    <w:tmpl w:val="DB328F70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130734A4"/>
    <w:multiLevelType w:val="hybridMultilevel"/>
    <w:tmpl w:val="8E8E77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467E13"/>
    <w:multiLevelType w:val="hybridMultilevel"/>
    <w:tmpl w:val="BFE8A1C4"/>
    <w:lvl w:ilvl="0" w:tplc="04090007">
      <w:start w:val="1"/>
      <w:numFmt w:val="bullet"/>
      <w:lvlText w:val=""/>
      <w:lvlPicBulletId w:val="0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77D3388D"/>
    <w:multiLevelType w:val="hybridMultilevel"/>
    <w:tmpl w:val="4B882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834D8"/>
    <w:multiLevelType w:val="hybridMultilevel"/>
    <w:tmpl w:val="4A3A0C86"/>
    <w:lvl w:ilvl="0" w:tplc="F0B04C6C">
      <w:start w:val="1"/>
      <w:numFmt w:val="decimal"/>
      <w:lvlText w:val="%1-"/>
      <w:lvlJc w:val="left"/>
      <w:pPr>
        <w:ind w:left="720" w:hanging="360"/>
      </w:pPr>
      <w:rPr>
        <w:rFonts w:cs="2  Mitr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B8"/>
    <w:rsid w:val="000C54AB"/>
    <w:rsid w:val="001014C3"/>
    <w:rsid w:val="001932D2"/>
    <w:rsid w:val="003242EC"/>
    <w:rsid w:val="00397468"/>
    <w:rsid w:val="008F75A3"/>
    <w:rsid w:val="00A91432"/>
    <w:rsid w:val="00BB7A5E"/>
    <w:rsid w:val="00C24956"/>
    <w:rsid w:val="00CC63D1"/>
    <w:rsid w:val="00D01CB8"/>
    <w:rsid w:val="00DD68E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PEYVAND</dc:creator>
  <cp:lastModifiedBy>PEYVAND</cp:lastModifiedBy>
  <cp:revision>5</cp:revision>
  <dcterms:created xsi:type="dcterms:W3CDTF">2014-11-08T06:37:00Z</dcterms:created>
  <dcterms:modified xsi:type="dcterms:W3CDTF">2014-11-11T06:40:00Z</dcterms:modified>
</cp:coreProperties>
</file>